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4D387" w14:textId="77777777" w:rsidR="00342A01" w:rsidRPr="00A76C71" w:rsidRDefault="00342A01" w:rsidP="00A76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71">
        <w:rPr>
          <w:rFonts w:ascii="Times New Roman" w:hAnsi="Times New Roman" w:cs="Times New Roman"/>
          <w:b/>
          <w:sz w:val="24"/>
          <w:szCs w:val="24"/>
        </w:rPr>
        <w:t>APIE PROJEKTĄ</w:t>
      </w:r>
      <w:bookmarkStart w:id="0" w:name="_GoBack"/>
      <w:bookmarkEnd w:id="0"/>
    </w:p>
    <w:p w14:paraId="046395BF" w14:textId="77777777" w:rsidR="00342A01" w:rsidRPr="00A76C71" w:rsidRDefault="00342A01" w:rsidP="00342A01">
      <w:pPr>
        <w:rPr>
          <w:rFonts w:ascii="Times New Roman" w:hAnsi="Times New Roman" w:cs="Times New Roman"/>
          <w:sz w:val="24"/>
          <w:szCs w:val="24"/>
        </w:rPr>
      </w:pPr>
    </w:p>
    <w:p w14:paraId="7B748099" w14:textId="77777777" w:rsidR="00342A01" w:rsidRPr="00A76C71" w:rsidRDefault="00342A01" w:rsidP="00A76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biuras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2018 m.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liepos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25 d.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savivaldybėje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pradėjo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įgyvendinti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tikslinių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gyventojų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gyvensenos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skatinimas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Numatyta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pabaiga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- 2020 m.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sausio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25 d.</w:t>
      </w:r>
    </w:p>
    <w:p w14:paraId="3F7660F9" w14:textId="77777777" w:rsidR="00342A01" w:rsidRPr="00A76C71" w:rsidRDefault="00342A01" w:rsidP="00A76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poreikis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Poreikis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mažinti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egzistuojančius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netolygumus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akivaizdus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lyginant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kitomis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Sąjungos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šalimis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išsiskiria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ryškiais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gyventojų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netolygumais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kuriuos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sąlygoja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įvairūs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sveikatą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veikiantys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demografiniai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socialiniai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ekonominiai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politiniai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veiksniai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. 2016 m.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statistikos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duomenimis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skurdo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rizikoje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miestuose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gyveno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Start"/>
      <w:r w:rsidRPr="00A76C71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A76C71">
        <w:rPr>
          <w:rFonts w:ascii="Times New Roman" w:hAnsi="Times New Roman" w:cs="Times New Roman"/>
          <w:sz w:val="24"/>
          <w:szCs w:val="24"/>
        </w:rPr>
        <w:t xml:space="preserve"> proc., o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kaimuose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– 34,8 proc.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Pažeidžiamiausios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turintieji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mažas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pajamas,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bedarbiai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augantys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šeimose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kuriose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riboto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išsilavinimo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žmonės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netolygumams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didelę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reikšmę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nelygybė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nevienodos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galimybės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viešosiomis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profilaktikos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paslaugomis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Patvirtintas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netolygumų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mažinimo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2014-2023 m.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veiksmų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(LR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liepos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16 d.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įsakymas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. V-815)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įrodo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šios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problemos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svarbą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poreikį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ją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spręsti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šalinant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tuos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veiksnius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tiesiogiai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nulemia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išvengiamus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gyventojų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skirtumus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>.</w:t>
      </w:r>
    </w:p>
    <w:p w14:paraId="3B72FFCF" w14:textId="77777777" w:rsidR="00342A01" w:rsidRPr="00A76C71" w:rsidRDefault="00342A01" w:rsidP="00A76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padidinti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vyresnio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lygį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formuoti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gyvensenos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įgūdžius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>.</w:t>
      </w:r>
    </w:p>
    <w:p w14:paraId="45CC6963" w14:textId="77777777" w:rsidR="00342A01" w:rsidRPr="00A76C71" w:rsidRDefault="00342A01" w:rsidP="00A76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Siekiami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rezultatai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Įgyvendinant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siekiama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informavimo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renginiuose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raštingumą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didinančiose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veiklose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mieste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dalyvautų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3400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tikslinių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>.</w:t>
      </w:r>
    </w:p>
    <w:p w14:paraId="4DF3D5DA" w14:textId="77777777" w:rsidR="00342A01" w:rsidRPr="00A76C71" w:rsidRDefault="00342A01" w:rsidP="00A76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Tikslinės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poreikiai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>:</w:t>
      </w:r>
    </w:p>
    <w:p w14:paraId="1E5FF2B3" w14:textId="77777777" w:rsidR="00342A01" w:rsidRPr="00A76C71" w:rsidRDefault="00342A01" w:rsidP="00A76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neturintys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18-os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A76C71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ekonominių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aplinkybių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tokių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nepalanki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socialinė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ekonominė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padėtis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įsidarbinimo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perspektyvos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dažniau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gresia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socialinė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atskirtis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neigiamas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veiksnių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poveikis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>;</w:t>
      </w:r>
    </w:p>
    <w:p w14:paraId="61EE8315" w14:textId="77777777" w:rsidR="00342A01" w:rsidRPr="00A76C71" w:rsidRDefault="00342A01" w:rsidP="00A76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Vyresnio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apibrėžta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senėjimo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užtikrinimo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veiksmų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C71">
        <w:rPr>
          <w:rFonts w:ascii="Times New Roman" w:hAnsi="Times New Roman" w:cs="Times New Roman"/>
          <w:sz w:val="24"/>
          <w:szCs w:val="24"/>
        </w:rPr>
        <w:t>plano</w:t>
      </w:r>
      <w:proofErr w:type="spellEnd"/>
      <w:proofErr w:type="gramEnd"/>
      <w:r w:rsidRPr="00A76C7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punkte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gyventojų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senėjimo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kyla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naujų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ypač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didina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pagyvenusių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žmonių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atskirties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riziką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užkerta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galimybes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jiems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aktyviai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rinkoje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įprastinėje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veikloje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Vyresnio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žmonėms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būdingas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poliligotumas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neįgalumas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didžioji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C71">
        <w:rPr>
          <w:rFonts w:ascii="Times New Roman" w:hAnsi="Times New Roman" w:cs="Times New Roman"/>
          <w:sz w:val="24"/>
          <w:szCs w:val="24"/>
        </w:rPr>
        <w:t>dalis</w:t>
      </w:r>
      <w:proofErr w:type="spellEnd"/>
      <w:proofErr w:type="gram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miršta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lėtinių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neinfekcinių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>.</w:t>
      </w:r>
    </w:p>
    <w:p w14:paraId="1627B677" w14:textId="77777777" w:rsidR="00342A01" w:rsidRPr="00A76C71" w:rsidRDefault="00342A01" w:rsidP="00A76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71">
        <w:rPr>
          <w:rFonts w:ascii="Times New Roman" w:hAnsi="Times New Roman" w:cs="Times New Roman"/>
          <w:sz w:val="24"/>
          <w:szCs w:val="24"/>
        </w:rPr>
        <w:t>Įgyvendinant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vyresnio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stiprinimo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veiklas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gerinant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raštingumą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mieste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bus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organizuojamos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įvairios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8FB40C" w14:textId="77777777" w:rsidR="00342A01" w:rsidRPr="00A76C71" w:rsidRDefault="00342A01" w:rsidP="00A76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pirmosios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mokymai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paskaitų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ciklas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lytiškumą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savipagalbos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būdus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jaunimui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palankių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viešinimas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elektroniniuose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dienynuose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mitybos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fizinio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aktyvumo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užsiėmimai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vasaros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stovyklos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Sveikatingumo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takelių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kiemeliuose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renginys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Saldadieniai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šeštadieniais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užsiėmimai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sensoriniame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kambaryje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kt.);</w:t>
      </w:r>
    </w:p>
    <w:p w14:paraId="7FFAE867" w14:textId="77777777" w:rsidR="00342A01" w:rsidRPr="00A76C71" w:rsidRDefault="00342A01" w:rsidP="00A76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71">
        <w:rPr>
          <w:rFonts w:ascii="Times New Roman" w:hAnsi="Times New Roman" w:cs="Times New Roman"/>
          <w:sz w:val="24"/>
          <w:szCs w:val="24"/>
        </w:rPr>
        <w:lastRenderedPageBreak/>
        <w:t>Vyresnio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praktinių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fizinio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aktyvumo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veiklų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ciklai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senjorų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vaikščiojimo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užsiėmimai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paskaitos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praktiniai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užsiėmimai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palanki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mityba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mankštų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ciklai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skirti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koordinacijos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funkcijų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padedančių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apsisaugoti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griuvimų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gerinimui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palaikymui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psichoemocinės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terapijos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užsiėmimai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psichologinės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konsultacijos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paskaitos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seminarai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senėjimo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temomis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paskaitų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ciklas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griuvimus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prevenciją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pirmosios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mokymai,užsiėmimai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sensoriniame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kambaryje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>).</w:t>
      </w:r>
    </w:p>
    <w:p w14:paraId="57B2B286" w14:textId="24705049" w:rsidR="00342A01" w:rsidRPr="00A76C71" w:rsidRDefault="00342A01" w:rsidP="00A76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. Bus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pasiektas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geresnis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tikslinių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lygis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suformuoti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pozityvios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elgsenos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pokyčiai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prisidės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netolygumų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mažinimo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>.</w:t>
      </w:r>
    </w:p>
    <w:p w14:paraId="03C4B978" w14:textId="72E128BC" w:rsidR="00F33381" w:rsidRPr="00A76C71" w:rsidRDefault="00F33381" w:rsidP="00A76C71">
      <w:pPr>
        <w:jc w:val="both"/>
        <w:rPr>
          <w:rFonts w:ascii="Times New Roman" w:hAnsi="Times New Roman" w:cs="Times New Roman"/>
          <w:sz w:val="24"/>
          <w:szCs w:val="24"/>
        </w:rPr>
      </w:pPr>
      <w:r w:rsidRPr="00A76C7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Vėtrungės</w:t>
      </w:r>
      <w:proofErr w:type="spellEnd"/>
      <w:proofErr w:type="gramStart"/>
      <w:r w:rsidRPr="00A76C7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proofErr w:type="gramEnd"/>
      <w:r w:rsidRPr="00A76C71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="00A63E5A" w:rsidRPr="00A76C71">
        <w:rPr>
          <w:rFonts w:ascii="Times New Roman" w:hAnsi="Times New Roman" w:cs="Times New Roman"/>
          <w:sz w:val="24"/>
          <w:szCs w:val="24"/>
        </w:rPr>
        <w:t>penkios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dalyvavo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pirmosios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mokymuose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, 63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gimnazistai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paskaitų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cikle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lytiškumą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>.</w:t>
      </w:r>
    </w:p>
    <w:p w14:paraId="60B7253C" w14:textId="77777777" w:rsidR="007C3EF5" w:rsidRPr="00A76C71" w:rsidRDefault="007C3EF5" w:rsidP="00A76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finansuojamas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socialinio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fondo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>.</w:t>
      </w:r>
    </w:p>
    <w:p w14:paraId="6D1C5931" w14:textId="77777777" w:rsidR="007C3EF5" w:rsidRPr="00A76C71" w:rsidRDefault="007C3EF5" w:rsidP="00A76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C71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71"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 w:rsidRPr="00A76C7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A76C71">
          <w:rPr>
            <w:rStyle w:val="Hipersaitas"/>
            <w:rFonts w:ascii="Times New Roman" w:hAnsi="Times New Roman" w:cs="Times New Roman"/>
            <w:sz w:val="24"/>
            <w:szCs w:val="24"/>
          </w:rPr>
          <w:t>www.einvesticijos.lt</w:t>
        </w:r>
      </w:hyperlink>
      <w:r w:rsidRPr="00A76C71">
        <w:rPr>
          <w:rFonts w:ascii="Times New Roman" w:hAnsi="Times New Roman" w:cs="Times New Roman"/>
          <w:sz w:val="24"/>
          <w:szCs w:val="24"/>
        </w:rPr>
        <w:t>.</w:t>
      </w:r>
    </w:p>
    <w:p w14:paraId="7396AA4E" w14:textId="77777777" w:rsidR="007C3EF5" w:rsidRPr="00A76C71" w:rsidRDefault="007C3EF5" w:rsidP="007C3EF5">
      <w:pPr>
        <w:rPr>
          <w:rFonts w:ascii="Times New Roman" w:hAnsi="Times New Roman" w:cs="Times New Roman"/>
          <w:sz w:val="24"/>
          <w:szCs w:val="24"/>
        </w:rPr>
      </w:pPr>
    </w:p>
    <w:p w14:paraId="42E4A870" w14:textId="77777777" w:rsidR="007C3EF5" w:rsidRPr="00A76C71" w:rsidRDefault="007C3EF5" w:rsidP="00342A01">
      <w:pPr>
        <w:rPr>
          <w:rFonts w:ascii="Times New Roman" w:hAnsi="Times New Roman" w:cs="Times New Roman"/>
          <w:sz w:val="24"/>
          <w:szCs w:val="24"/>
        </w:rPr>
      </w:pPr>
    </w:p>
    <w:p w14:paraId="44AE13B9" w14:textId="77777777" w:rsidR="007C3EF5" w:rsidRDefault="007C3EF5" w:rsidP="00342A01"/>
    <w:p w14:paraId="7D91B2F4" w14:textId="270B1E02" w:rsidR="00507ABE" w:rsidRDefault="00507ABE" w:rsidP="00342A01">
      <w:r>
        <w:rPr>
          <w:noProof/>
        </w:rPr>
        <w:lastRenderedPageBreak/>
        <w:drawing>
          <wp:inline distT="0" distB="0" distL="0" distR="0" wp14:anchorId="4268440B" wp14:editId="22707A62">
            <wp:extent cx="4600575" cy="3415030"/>
            <wp:effectExtent l="2223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00575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B0B84" w14:textId="041A9520" w:rsidR="00507ABE" w:rsidRDefault="00507ABE" w:rsidP="00342A01">
      <w:r>
        <w:rPr>
          <w:noProof/>
        </w:rPr>
        <w:drawing>
          <wp:inline distT="0" distB="0" distL="0" distR="0" wp14:anchorId="206C7299" wp14:editId="595734CB">
            <wp:extent cx="3352800" cy="4295775"/>
            <wp:effectExtent l="4762" t="0" r="4763" b="4762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28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A8CC" w14:textId="7B79E121" w:rsidR="007C3EF5" w:rsidRDefault="007C3EF5" w:rsidP="00342A01">
      <w:r>
        <w:rPr>
          <w:noProof/>
        </w:rPr>
        <w:lastRenderedPageBreak/>
        <w:drawing>
          <wp:inline distT="0" distB="0" distL="0" distR="0" wp14:anchorId="3CEA10BA" wp14:editId="732EA19A">
            <wp:extent cx="4305300" cy="4124325"/>
            <wp:effectExtent l="0" t="0" r="0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EAB9A" w14:textId="2A54930F" w:rsidR="007C3EF5" w:rsidRDefault="007C3EF5" w:rsidP="00342A01">
      <w:r>
        <w:rPr>
          <w:noProof/>
        </w:rPr>
        <w:drawing>
          <wp:inline distT="0" distB="0" distL="0" distR="0" wp14:anchorId="40FD28E5" wp14:editId="0A8D73C1">
            <wp:extent cx="3893717" cy="4021189"/>
            <wp:effectExtent l="0" t="6667" r="5397" b="5398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1647" cy="403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A74C1" w14:textId="21DD41A4" w:rsidR="007C3EF5" w:rsidRDefault="007C3EF5" w:rsidP="00342A01">
      <w:r>
        <w:rPr>
          <w:noProof/>
        </w:rPr>
        <w:lastRenderedPageBreak/>
        <w:drawing>
          <wp:inline distT="0" distB="0" distL="0" distR="0" wp14:anchorId="170BED36" wp14:editId="7C33C531">
            <wp:extent cx="4141155" cy="3990975"/>
            <wp:effectExtent l="0" t="127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9758" cy="399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6DB04" w14:textId="2BE9CD15" w:rsidR="00E8492D" w:rsidRDefault="00E8492D" w:rsidP="00342A01">
      <w:bookmarkStart w:id="1" w:name="_Hlk5088760"/>
    </w:p>
    <w:p w14:paraId="145233FA" w14:textId="73853631" w:rsidR="00507ABE" w:rsidRDefault="00507ABE" w:rsidP="00342A01"/>
    <w:bookmarkEnd w:id="1"/>
    <w:p w14:paraId="587CEFC8" w14:textId="4321CB9D" w:rsidR="00507ABE" w:rsidRDefault="00507ABE" w:rsidP="00342A01"/>
    <w:sectPr w:rsidR="0050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01"/>
    <w:rsid w:val="00123FDC"/>
    <w:rsid w:val="0013204C"/>
    <w:rsid w:val="00342A01"/>
    <w:rsid w:val="00413B96"/>
    <w:rsid w:val="00452084"/>
    <w:rsid w:val="00507ABE"/>
    <w:rsid w:val="0069014E"/>
    <w:rsid w:val="007C3EF5"/>
    <w:rsid w:val="00A63E5A"/>
    <w:rsid w:val="00A76C71"/>
    <w:rsid w:val="00DA5705"/>
    <w:rsid w:val="00E8492D"/>
    <w:rsid w:val="00F3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697A"/>
  <w15:chartTrackingRefBased/>
  <w15:docId w15:val="{8C7DF707-127A-425A-A753-3EA2F7B7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7ABE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07AB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0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einvesticijos.lt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Vartotojas1</cp:lastModifiedBy>
  <cp:revision>12</cp:revision>
  <dcterms:created xsi:type="dcterms:W3CDTF">2019-03-25T06:27:00Z</dcterms:created>
  <dcterms:modified xsi:type="dcterms:W3CDTF">2019-04-02T07:08:00Z</dcterms:modified>
</cp:coreProperties>
</file>